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A1" w:rsidRPr="00314F9C" w:rsidRDefault="000B2B26" w:rsidP="00110C5D">
      <w:pPr>
        <w:rPr>
          <w:rFonts w:cs="Arial"/>
          <w:sz w:val="24"/>
          <w:szCs w:val="24"/>
        </w:rPr>
      </w:pPr>
      <w:r w:rsidRPr="00314F9C">
        <w:rPr>
          <w:rFonts w:cs="Arial"/>
          <w:sz w:val="24"/>
          <w:szCs w:val="24"/>
        </w:rPr>
        <w:t xml:space="preserve">The </w:t>
      </w:r>
      <w:proofErr w:type="spellStart"/>
      <w:r w:rsidR="00314F9C" w:rsidRPr="00314F9C">
        <w:rPr>
          <w:rFonts w:cs="Arial"/>
          <w:sz w:val="24"/>
          <w:szCs w:val="24"/>
        </w:rPr>
        <w:t>MODerate</w:t>
      </w:r>
      <w:proofErr w:type="spellEnd"/>
      <w:r w:rsidR="00314F9C" w:rsidRPr="00314F9C">
        <w:rPr>
          <w:rFonts w:cs="Arial"/>
          <w:sz w:val="24"/>
          <w:szCs w:val="24"/>
        </w:rPr>
        <w:t xml:space="preserve">-resolution Imaging </w:t>
      </w:r>
      <w:proofErr w:type="spellStart"/>
      <w:r w:rsidR="00314F9C" w:rsidRPr="00314F9C">
        <w:rPr>
          <w:rFonts w:cs="Arial"/>
          <w:sz w:val="24"/>
          <w:szCs w:val="24"/>
        </w:rPr>
        <w:t>Spectroradiometer</w:t>
      </w:r>
      <w:proofErr w:type="spellEnd"/>
      <w:r w:rsidR="00314F9C" w:rsidRPr="00314F9C">
        <w:rPr>
          <w:rFonts w:cs="Arial"/>
          <w:sz w:val="24"/>
          <w:szCs w:val="24"/>
        </w:rPr>
        <w:t xml:space="preserve"> (MODIS) </w:t>
      </w:r>
      <w:r w:rsidRPr="00314F9C">
        <w:rPr>
          <w:rFonts w:cs="Arial"/>
          <w:sz w:val="24"/>
          <w:szCs w:val="24"/>
        </w:rPr>
        <w:t xml:space="preserve">Normalized Difference Vegetation Index (NDVI) </w:t>
      </w:r>
      <w:r w:rsidR="00F602A5" w:rsidRPr="00314F9C">
        <w:rPr>
          <w:rFonts w:cs="Arial"/>
          <w:sz w:val="24"/>
          <w:szCs w:val="24"/>
        </w:rPr>
        <w:t xml:space="preserve">product is </w:t>
      </w:r>
      <w:r w:rsidR="00314F9C" w:rsidRPr="00314F9C">
        <w:rPr>
          <w:sz w:val="24"/>
          <w:szCs w:val="24"/>
        </w:rPr>
        <w:t xml:space="preserve">computed from atmospherically corrected bi-directional surface </w:t>
      </w:r>
      <w:proofErr w:type="spellStart"/>
      <w:r w:rsidR="00314F9C" w:rsidRPr="00314F9C">
        <w:rPr>
          <w:sz w:val="24"/>
          <w:szCs w:val="24"/>
        </w:rPr>
        <w:t>reflectances</w:t>
      </w:r>
      <w:proofErr w:type="spellEnd"/>
      <w:r w:rsidR="00314F9C" w:rsidRPr="00314F9C">
        <w:rPr>
          <w:sz w:val="24"/>
          <w:szCs w:val="24"/>
        </w:rPr>
        <w:t xml:space="preserve"> that have been masked for water, clouds, heavy aerosols, and cloud shadows. </w:t>
      </w:r>
      <w:r w:rsidR="00314F9C" w:rsidRPr="00314F9C">
        <w:rPr>
          <w:rFonts w:cs="Arial"/>
          <w:sz w:val="24"/>
          <w:szCs w:val="24"/>
        </w:rPr>
        <w:t xml:space="preserve"> </w:t>
      </w:r>
      <w:r w:rsidRPr="00314F9C">
        <w:rPr>
          <w:rFonts w:cs="Arial"/>
          <w:sz w:val="24"/>
          <w:szCs w:val="24"/>
        </w:rPr>
        <w:t xml:space="preserve">The </w:t>
      </w:r>
      <w:r w:rsidR="00F602A5" w:rsidRPr="00314F9C">
        <w:rPr>
          <w:rFonts w:cs="Arial"/>
          <w:sz w:val="24"/>
          <w:szCs w:val="24"/>
        </w:rPr>
        <w:t xml:space="preserve">MODIS NDVI 16-Day (MOD13Q1) </w:t>
      </w:r>
      <w:r w:rsidRPr="00314F9C">
        <w:rPr>
          <w:rFonts w:cs="Arial"/>
          <w:sz w:val="24"/>
          <w:szCs w:val="24"/>
        </w:rPr>
        <w:t xml:space="preserve">product </w:t>
      </w:r>
      <w:r w:rsidR="00F602A5" w:rsidRPr="00314F9C">
        <w:rPr>
          <w:rFonts w:cs="Arial"/>
          <w:sz w:val="24"/>
          <w:szCs w:val="24"/>
        </w:rPr>
        <w:t xml:space="preserve">is available </w:t>
      </w:r>
      <w:r w:rsidR="00314F9C" w:rsidRPr="00314F9C">
        <w:rPr>
          <w:rFonts w:cs="Arial"/>
          <w:sz w:val="24"/>
          <w:szCs w:val="24"/>
        </w:rPr>
        <w:t>every 16 days</w:t>
      </w:r>
      <w:r w:rsidR="00F602A5" w:rsidRPr="00314F9C">
        <w:rPr>
          <w:rFonts w:cs="Arial"/>
          <w:sz w:val="24"/>
          <w:szCs w:val="24"/>
        </w:rPr>
        <w:t xml:space="preserve"> from February 2000 to present.  The </w:t>
      </w:r>
      <w:r w:rsidR="006E7FA1" w:rsidRPr="00314F9C">
        <w:rPr>
          <w:rFonts w:cs="Arial"/>
          <w:sz w:val="24"/>
          <w:szCs w:val="24"/>
        </w:rPr>
        <w:t>MOD13Q1 tiles were downloaded from Land Processes Distributed Active Archive Center (LP DAAC</w:t>
      </w:r>
      <w:proofErr w:type="gramStart"/>
      <w:r w:rsidR="006E7FA1" w:rsidRPr="00314F9C">
        <w:rPr>
          <w:rFonts w:cs="Arial"/>
          <w:sz w:val="24"/>
          <w:szCs w:val="24"/>
        </w:rPr>
        <w:t>),</w:t>
      </w:r>
      <w:proofErr w:type="gramEnd"/>
      <w:r w:rsidR="006E7FA1" w:rsidRPr="00314F9C">
        <w:rPr>
          <w:rFonts w:cs="Arial"/>
          <w:sz w:val="24"/>
          <w:szCs w:val="24"/>
        </w:rPr>
        <w:t xml:space="preserve"> </w:t>
      </w:r>
      <w:proofErr w:type="spellStart"/>
      <w:r w:rsidR="006E7FA1" w:rsidRPr="00314F9C">
        <w:rPr>
          <w:rFonts w:cs="Arial"/>
          <w:sz w:val="24"/>
          <w:szCs w:val="24"/>
        </w:rPr>
        <w:t>reprojected</w:t>
      </w:r>
      <w:proofErr w:type="spellEnd"/>
      <w:r w:rsidR="006E7FA1" w:rsidRPr="00314F9C">
        <w:rPr>
          <w:rFonts w:cs="Arial"/>
          <w:sz w:val="24"/>
          <w:szCs w:val="24"/>
        </w:rPr>
        <w:t xml:space="preserve"> from the standard MODIS Sinusoidal grid tiling system to UTM and </w:t>
      </w:r>
      <w:r w:rsidR="0011633D" w:rsidRPr="00314F9C">
        <w:rPr>
          <w:rFonts w:cs="Arial"/>
          <w:sz w:val="24"/>
          <w:szCs w:val="24"/>
        </w:rPr>
        <w:t>mosaicked</w:t>
      </w:r>
      <w:r w:rsidR="00F602A5" w:rsidRPr="00314F9C">
        <w:rPr>
          <w:rFonts w:cs="Arial"/>
          <w:sz w:val="24"/>
          <w:szCs w:val="24"/>
        </w:rPr>
        <w:t xml:space="preserve"> </w:t>
      </w:r>
      <w:r w:rsidR="006E7FA1" w:rsidRPr="00314F9C">
        <w:rPr>
          <w:rFonts w:cs="Arial"/>
          <w:sz w:val="24"/>
          <w:szCs w:val="24"/>
        </w:rPr>
        <w:t>to produce this W2W (wall to wall) NDVI dataset.</w:t>
      </w:r>
      <w:r w:rsidR="00F602A5" w:rsidRPr="00314F9C">
        <w:rPr>
          <w:rFonts w:cs="Arial"/>
          <w:sz w:val="24"/>
          <w:szCs w:val="24"/>
        </w:rPr>
        <w:t xml:space="preserve">  </w:t>
      </w:r>
    </w:p>
    <w:p w:rsidR="00C751B2" w:rsidRPr="00E432E9" w:rsidRDefault="00E432E9" w:rsidP="00110C5D">
      <w:pPr>
        <w:rPr>
          <w:rFonts w:cs="Arial"/>
          <w:sz w:val="24"/>
          <w:szCs w:val="24"/>
        </w:rPr>
      </w:pPr>
      <w:r w:rsidRPr="00E432E9">
        <w:rPr>
          <w:rFonts w:eastAsia="Times New Roman" w:cs="Arial"/>
          <w:sz w:val="24"/>
          <w:szCs w:val="24"/>
          <w:lang w:eastAsia="en-CA"/>
        </w:rPr>
        <w:t xml:space="preserve">NDVI is a remotely sensed measurement </w:t>
      </w:r>
      <w:r w:rsidRPr="00E432E9">
        <w:rPr>
          <w:rFonts w:cs="Arial"/>
          <w:sz w:val="24"/>
          <w:szCs w:val="24"/>
        </w:rPr>
        <w:t>designed to provide spatially and temporally consistent measurements of the land s</w:t>
      </w:r>
      <w:bookmarkStart w:id="0" w:name="_GoBack"/>
      <w:bookmarkEnd w:id="0"/>
      <w:r w:rsidRPr="00E432E9">
        <w:rPr>
          <w:rFonts w:cs="Arial"/>
          <w:sz w:val="24"/>
          <w:szCs w:val="24"/>
        </w:rPr>
        <w:t xml:space="preserve">urface vegetation cover conditions.  </w:t>
      </w:r>
      <w:r w:rsidR="004C6513" w:rsidRPr="00E432E9">
        <w:rPr>
          <w:rFonts w:eastAsia="Times New Roman" w:cs="Arial"/>
          <w:sz w:val="24"/>
          <w:szCs w:val="24"/>
          <w:lang w:eastAsia="en-CA"/>
        </w:rPr>
        <w:t xml:space="preserve">Healthy green vegetation absorbs solar radiation in visible and reflects solar radiation in the near infrared spectral region as part of photosynthesis process.  By exploiting the difference in absorption properties of live vegetation </w:t>
      </w:r>
      <w:r w:rsidR="00273BAF" w:rsidRPr="00E432E9">
        <w:rPr>
          <w:rFonts w:eastAsia="Times New Roman" w:cs="Arial"/>
          <w:sz w:val="24"/>
          <w:szCs w:val="24"/>
          <w:lang w:eastAsia="en-CA"/>
        </w:rPr>
        <w:t xml:space="preserve">we can calculate a vegetation greenness index a measure of photosynthetic capacity of the land surface cover.  </w:t>
      </w:r>
      <w:r w:rsidR="004C6513" w:rsidRPr="00E432E9">
        <w:rPr>
          <w:rFonts w:eastAsia="Times New Roman" w:cs="Arial"/>
          <w:sz w:val="24"/>
          <w:szCs w:val="24"/>
          <w:lang w:eastAsia="en-CA"/>
        </w:rPr>
        <w:t xml:space="preserve">NDVI is calculated from the red and near-infrared </w:t>
      </w:r>
      <w:r w:rsidR="00273BAF" w:rsidRPr="00E432E9">
        <w:rPr>
          <w:rFonts w:eastAsia="Times New Roman" w:cs="Arial"/>
          <w:sz w:val="24"/>
          <w:szCs w:val="24"/>
          <w:lang w:eastAsia="en-CA"/>
        </w:rPr>
        <w:t>reflectance in</w:t>
      </w:r>
      <w:r w:rsidR="004C6513" w:rsidRPr="00E432E9">
        <w:rPr>
          <w:rFonts w:eastAsia="Times New Roman" w:cs="Arial"/>
          <w:sz w:val="24"/>
          <w:szCs w:val="24"/>
          <w:lang w:eastAsia="en-CA"/>
        </w:rPr>
        <w:t xml:space="preserve"> </w:t>
      </w:r>
      <w:r w:rsidR="004C6513" w:rsidRPr="00E432E9">
        <w:rPr>
          <w:rFonts w:eastAsia="Times New Roman" w:cs="Arial"/>
          <w:iCs/>
          <w:sz w:val="24"/>
          <w:szCs w:val="24"/>
          <w:lang w:eastAsia="en-CA"/>
        </w:rPr>
        <w:t>NIR</w:t>
      </w:r>
      <w:r w:rsidR="004C6513" w:rsidRPr="00E432E9">
        <w:rPr>
          <w:rFonts w:eastAsia="Times New Roman" w:cs="Arial"/>
          <w:sz w:val="24"/>
          <w:szCs w:val="24"/>
          <w:lang w:eastAsia="en-CA"/>
        </w:rPr>
        <w:t xml:space="preserve"> </w:t>
      </w:r>
      <w:r w:rsidR="00273BAF" w:rsidRPr="00E432E9">
        <w:rPr>
          <w:rFonts w:eastAsia="Times New Roman" w:cs="Arial"/>
          <w:sz w:val="24"/>
          <w:szCs w:val="24"/>
          <w:lang w:eastAsia="en-CA"/>
        </w:rPr>
        <w:t xml:space="preserve">and </w:t>
      </w:r>
      <w:r w:rsidR="00273BAF" w:rsidRPr="00E432E9">
        <w:rPr>
          <w:rFonts w:eastAsia="Times New Roman" w:cs="Arial"/>
          <w:iCs/>
          <w:sz w:val="24"/>
          <w:szCs w:val="24"/>
          <w:lang w:eastAsia="en-CA"/>
        </w:rPr>
        <w:t>RED</w:t>
      </w:r>
      <w:r w:rsidR="00273BAF" w:rsidRPr="00E432E9">
        <w:rPr>
          <w:rFonts w:eastAsia="Times New Roman" w:cs="Arial"/>
          <w:sz w:val="24"/>
          <w:szCs w:val="24"/>
          <w:lang w:eastAsia="en-CA"/>
        </w:rPr>
        <w:t xml:space="preserve"> spectral regions </w:t>
      </w:r>
      <w:r w:rsidR="004C6513" w:rsidRPr="00E432E9">
        <w:rPr>
          <w:rFonts w:eastAsia="Times New Roman" w:cs="Arial"/>
          <w:sz w:val="24"/>
          <w:szCs w:val="24"/>
          <w:lang w:eastAsia="en-CA"/>
        </w:rPr>
        <w:t>as</w:t>
      </w:r>
      <w:r w:rsidR="00110C5D" w:rsidRPr="00E432E9">
        <w:rPr>
          <w:rFonts w:eastAsia="Times New Roman" w:cs="Arial"/>
          <w:sz w:val="24"/>
          <w:szCs w:val="24"/>
          <w:lang w:eastAsia="en-CA"/>
        </w:rPr>
        <w:t xml:space="preserve">: </w:t>
      </w:r>
      <w:r w:rsidR="004C6513" w:rsidRPr="009311CB">
        <w:rPr>
          <w:rFonts w:eastAsia="Times New Roman" w:cs="Arial"/>
          <w:b/>
          <w:iCs/>
          <w:sz w:val="24"/>
          <w:szCs w:val="24"/>
          <w:lang w:eastAsia="en-CA"/>
        </w:rPr>
        <w:t>NDVI</w:t>
      </w:r>
      <w:r w:rsidR="009311CB">
        <w:rPr>
          <w:rFonts w:eastAsia="Times New Roman" w:cs="Arial"/>
          <w:b/>
          <w:iCs/>
          <w:sz w:val="24"/>
          <w:szCs w:val="24"/>
          <w:lang w:eastAsia="en-CA"/>
        </w:rPr>
        <w:t xml:space="preserve"> </w:t>
      </w:r>
      <w:r w:rsidR="004C6513" w:rsidRPr="009311CB">
        <w:rPr>
          <w:rFonts w:eastAsia="Times New Roman" w:cs="Arial"/>
          <w:b/>
          <w:iCs/>
          <w:sz w:val="24"/>
          <w:szCs w:val="24"/>
          <w:lang w:eastAsia="en-CA"/>
        </w:rPr>
        <w:t>=</w:t>
      </w:r>
      <w:r w:rsidR="009311CB">
        <w:rPr>
          <w:rFonts w:eastAsia="Times New Roman" w:cs="Arial"/>
          <w:b/>
          <w:iCs/>
          <w:sz w:val="24"/>
          <w:szCs w:val="24"/>
          <w:lang w:eastAsia="en-CA"/>
        </w:rPr>
        <w:t xml:space="preserve"> </w:t>
      </w:r>
      <w:r w:rsidR="00110C5D" w:rsidRPr="009311CB">
        <w:rPr>
          <w:rFonts w:eastAsia="Times New Roman" w:cs="Arial"/>
          <w:b/>
          <w:iCs/>
          <w:sz w:val="24"/>
          <w:szCs w:val="24"/>
          <w:lang w:eastAsia="en-CA"/>
        </w:rPr>
        <w:t>(</w:t>
      </w:r>
      <w:r w:rsidR="004C6513" w:rsidRPr="009311CB">
        <w:rPr>
          <w:rFonts w:eastAsia="Times New Roman" w:cs="Arial"/>
          <w:b/>
          <w:iCs/>
          <w:sz w:val="24"/>
          <w:szCs w:val="24"/>
          <w:lang w:eastAsia="en-CA"/>
        </w:rPr>
        <w:t>NIR</w:t>
      </w:r>
      <w:r w:rsidR="009311CB">
        <w:rPr>
          <w:rFonts w:eastAsia="Times New Roman" w:cs="Arial"/>
          <w:b/>
          <w:iCs/>
          <w:sz w:val="24"/>
          <w:szCs w:val="24"/>
          <w:lang w:eastAsia="en-CA"/>
        </w:rPr>
        <w:t>-</w:t>
      </w:r>
      <w:r w:rsidR="004C6513" w:rsidRPr="009311CB">
        <w:rPr>
          <w:rFonts w:eastAsia="Times New Roman" w:cs="Arial"/>
          <w:b/>
          <w:iCs/>
          <w:sz w:val="24"/>
          <w:szCs w:val="24"/>
          <w:lang w:eastAsia="en-CA"/>
        </w:rPr>
        <w:t>R</w:t>
      </w:r>
      <w:r w:rsidRPr="009311CB">
        <w:rPr>
          <w:rFonts w:eastAsia="Times New Roman" w:cs="Arial"/>
          <w:b/>
          <w:iCs/>
          <w:sz w:val="24"/>
          <w:szCs w:val="24"/>
          <w:lang w:eastAsia="en-CA"/>
        </w:rPr>
        <w:t>ED</w:t>
      </w:r>
      <w:r w:rsidR="004C6513" w:rsidRPr="009311CB">
        <w:rPr>
          <w:rFonts w:eastAsia="Times New Roman" w:cs="Arial"/>
          <w:b/>
          <w:iCs/>
          <w:sz w:val="24"/>
          <w:szCs w:val="24"/>
          <w:lang w:eastAsia="en-CA"/>
        </w:rPr>
        <w:t>)</w:t>
      </w:r>
      <w:proofErr w:type="gramStart"/>
      <w:r w:rsidR="004C6513" w:rsidRPr="009311CB">
        <w:rPr>
          <w:rFonts w:eastAsia="Times New Roman" w:cs="Arial"/>
          <w:b/>
          <w:iCs/>
          <w:sz w:val="24"/>
          <w:szCs w:val="24"/>
          <w:lang w:eastAsia="en-CA"/>
        </w:rPr>
        <w:t>/(</w:t>
      </w:r>
      <w:proofErr w:type="gramEnd"/>
      <w:r w:rsidR="004C6513" w:rsidRPr="009311CB">
        <w:rPr>
          <w:rFonts w:eastAsia="Times New Roman" w:cs="Arial"/>
          <w:b/>
          <w:iCs/>
          <w:sz w:val="24"/>
          <w:szCs w:val="24"/>
          <w:lang w:eastAsia="en-CA"/>
        </w:rPr>
        <w:t>NIR+R</w:t>
      </w:r>
      <w:r w:rsidR="00273BAF" w:rsidRPr="009311CB">
        <w:rPr>
          <w:rFonts w:eastAsia="Times New Roman" w:cs="Arial"/>
          <w:b/>
          <w:iCs/>
          <w:sz w:val="24"/>
          <w:szCs w:val="24"/>
          <w:lang w:eastAsia="en-CA"/>
        </w:rPr>
        <w:t>ED</w:t>
      </w:r>
      <w:r w:rsidR="004C6513" w:rsidRPr="009311CB">
        <w:rPr>
          <w:rFonts w:eastAsia="Times New Roman" w:cs="Arial"/>
          <w:b/>
          <w:iCs/>
          <w:sz w:val="24"/>
          <w:szCs w:val="24"/>
          <w:lang w:eastAsia="en-CA"/>
        </w:rPr>
        <w:t>)</w:t>
      </w:r>
      <w:r w:rsidRPr="00E432E9">
        <w:rPr>
          <w:rFonts w:eastAsia="Times New Roman" w:cs="Arial"/>
          <w:iCs/>
          <w:sz w:val="24"/>
          <w:szCs w:val="24"/>
          <w:lang w:eastAsia="en-CA"/>
        </w:rPr>
        <w:t xml:space="preserve">.  </w:t>
      </w:r>
      <w:r w:rsidR="00273BAF" w:rsidRPr="00E432E9">
        <w:rPr>
          <w:rFonts w:eastAsia="Times New Roman" w:cs="Arial"/>
          <w:sz w:val="24"/>
          <w:szCs w:val="24"/>
          <w:lang w:eastAsia="en-CA"/>
        </w:rPr>
        <w:t>NDVI’s</w:t>
      </w:r>
      <w:r w:rsidR="004C6513" w:rsidRPr="00E432E9">
        <w:rPr>
          <w:rFonts w:eastAsia="Times New Roman" w:cs="Arial"/>
          <w:sz w:val="24"/>
          <w:szCs w:val="24"/>
          <w:lang w:eastAsia="en-CA"/>
        </w:rPr>
        <w:t xml:space="preserve"> value is always between -1 and +1</w:t>
      </w:r>
      <w:r w:rsidR="00110C5D" w:rsidRPr="00E432E9">
        <w:rPr>
          <w:rFonts w:eastAsia="Times New Roman" w:cs="Arial"/>
          <w:sz w:val="24"/>
          <w:szCs w:val="24"/>
          <w:lang w:eastAsia="en-CA"/>
        </w:rPr>
        <w:t>.  H</w:t>
      </w:r>
      <w:r w:rsidR="004C6513" w:rsidRPr="00E432E9">
        <w:rPr>
          <w:rFonts w:eastAsia="Times New Roman" w:cs="Arial"/>
          <w:sz w:val="24"/>
          <w:szCs w:val="24"/>
          <w:lang w:eastAsia="en-CA"/>
        </w:rPr>
        <w:t>igher</w:t>
      </w:r>
      <w:r w:rsidR="00110C5D" w:rsidRPr="00E432E9">
        <w:rPr>
          <w:rFonts w:eastAsia="Times New Roman" w:cs="Arial"/>
          <w:sz w:val="24"/>
          <w:szCs w:val="24"/>
          <w:lang w:eastAsia="en-CA"/>
        </w:rPr>
        <w:t xml:space="preserve"> NDVI</w:t>
      </w:r>
      <w:r w:rsidR="004C6513" w:rsidRPr="00E432E9">
        <w:rPr>
          <w:rFonts w:eastAsia="Times New Roman" w:cs="Arial"/>
          <w:sz w:val="24"/>
          <w:szCs w:val="24"/>
          <w:lang w:eastAsia="en-CA"/>
        </w:rPr>
        <w:t xml:space="preserve"> values associated with greater density and </w:t>
      </w:r>
      <w:r w:rsidR="00273BAF" w:rsidRPr="00E432E9">
        <w:rPr>
          <w:rFonts w:eastAsia="Times New Roman" w:cs="Arial"/>
          <w:sz w:val="24"/>
          <w:szCs w:val="24"/>
          <w:lang w:eastAsia="en-CA"/>
        </w:rPr>
        <w:t xml:space="preserve">vegetation </w:t>
      </w:r>
      <w:r w:rsidR="004C6513" w:rsidRPr="00E432E9">
        <w:rPr>
          <w:rFonts w:eastAsia="Times New Roman" w:cs="Arial"/>
          <w:sz w:val="24"/>
          <w:szCs w:val="24"/>
          <w:lang w:eastAsia="en-CA"/>
        </w:rPr>
        <w:t>greenness of</w:t>
      </w:r>
      <w:r w:rsidR="00273BAF" w:rsidRPr="00E432E9">
        <w:rPr>
          <w:rFonts w:eastAsia="Times New Roman" w:cs="Arial"/>
          <w:sz w:val="24"/>
          <w:szCs w:val="24"/>
          <w:lang w:eastAsia="en-CA"/>
        </w:rPr>
        <w:t xml:space="preserve"> the</w:t>
      </w:r>
      <w:r w:rsidR="004C6513" w:rsidRPr="00E432E9">
        <w:rPr>
          <w:rFonts w:eastAsia="Times New Roman" w:cs="Arial"/>
          <w:sz w:val="24"/>
          <w:szCs w:val="24"/>
          <w:lang w:eastAsia="en-CA"/>
        </w:rPr>
        <w:t xml:space="preserve"> </w:t>
      </w:r>
      <w:r w:rsidR="00273BAF" w:rsidRPr="00E432E9">
        <w:rPr>
          <w:rFonts w:eastAsia="Times New Roman" w:cs="Arial"/>
          <w:sz w:val="24"/>
          <w:szCs w:val="24"/>
          <w:lang w:eastAsia="en-CA"/>
        </w:rPr>
        <w:t>land surface cover</w:t>
      </w:r>
      <w:r w:rsidR="004C6513" w:rsidRPr="00E432E9">
        <w:rPr>
          <w:rFonts w:eastAsia="Times New Roman" w:cs="Arial"/>
          <w:sz w:val="24"/>
          <w:szCs w:val="24"/>
          <w:lang w:eastAsia="en-CA"/>
        </w:rPr>
        <w:t xml:space="preserve">. </w:t>
      </w:r>
      <w:r w:rsidR="00273BAF" w:rsidRPr="00E432E9">
        <w:rPr>
          <w:rFonts w:eastAsia="Times New Roman" w:cs="Arial"/>
          <w:sz w:val="24"/>
          <w:szCs w:val="24"/>
          <w:lang w:eastAsia="en-CA"/>
        </w:rPr>
        <w:t xml:space="preserve">  </w:t>
      </w:r>
      <w:r w:rsidR="00EA36E1" w:rsidRPr="00E432E9">
        <w:rPr>
          <w:rFonts w:eastAsia="Times New Roman" w:cs="Arial"/>
          <w:sz w:val="24"/>
          <w:szCs w:val="24"/>
          <w:lang w:eastAsia="en-CA"/>
        </w:rPr>
        <w:t>Water bodies have negative values, while bare</w:t>
      </w:r>
      <w:r w:rsidR="004C6513" w:rsidRPr="00E432E9">
        <w:rPr>
          <w:rFonts w:eastAsia="Times New Roman" w:cs="Arial"/>
          <w:sz w:val="24"/>
          <w:szCs w:val="24"/>
          <w:lang w:eastAsia="en-CA"/>
        </w:rPr>
        <w:t xml:space="preserve"> </w:t>
      </w:r>
      <w:r w:rsidR="00EA36E1" w:rsidRPr="00E432E9">
        <w:rPr>
          <w:rFonts w:eastAsia="Times New Roman" w:cs="Arial"/>
          <w:sz w:val="24"/>
          <w:szCs w:val="24"/>
          <w:lang w:eastAsia="en-CA"/>
        </w:rPr>
        <w:t>earth</w:t>
      </w:r>
      <w:r w:rsidR="004C6513" w:rsidRPr="00E432E9">
        <w:rPr>
          <w:rFonts w:eastAsia="Times New Roman" w:cs="Arial"/>
          <w:sz w:val="24"/>
          <w:szCs w:val="24"/>
          <w:lang w:eastAsia="en-CA"/>
        </w:rPr>
        <w:t xml:space="preserve"> an</w:t>
      </w:r>
      <w:r w:rsidR="00EA36E1" w:rsidRPr="00E432E9">
        <w:rPr>
          <w:rFonts w:eastAsia="Times New Roman" w:cs="Arial"/>
          <w:sz w:val="24"/>
          <w:szCs w:val="24"/>
          <w:lang w:eastAsia="en-CA"/>
        </w:rPr>
        <w:t xml:space="preserve">d snow values are closer to zero.  </w:t>
      </w:r>
      <w:r w:rsidRPr="00E432E9">
        <w:rPr>
          <w:rFonts w:eastAsia="Times New Roman" w:cs="Arial"/>
          <w:sz w:val="24"/>
          <w:szCs w:val="24"/>
          <w:lang w:eastAsia="en-CA"/>
        </w:rPr>
        <w:t>Each NDVI value in this dataset is scaled as integer (NDVI*10,000).</w:t>
      </w:r>
    </w:p>
    <w:tbl>
      <w:tblPr>
        <w:tblStyle w:val="TableGrid"/>
        <w:tblW w:w="0" w:type="auto"/>
        <w:tblLook w:val="04A0" w:firstRow="1" w:lastRow="0" w:firstColumn="1" w:lastColumn="0" w:noHBand="0" w:noVBand="1"/>
      </w:tblPr>
      <w:tblGrid>
        <w:gridCol w:w="3227"/>
        <w:gridCol w:w="6349"/>
      </w:tblGrid>
      <w:tr w:rsidR="00E432E9" w:rsidRPr="00E432E9" w:rsidTr="00E432E9">
        <w:tc>
          <w:tcPr>
            <w:tcW w:w="3227" w:type="dxa"/>
            <w:vAlign w:val="center"/>
          </w:tcPr>
          <w:p w:rsidR="00E432E9" w:rsidRPr="00E432E9" w:rsidRDefault="00E432E9" w:rsidP="00376B50">
            <w:pPr>
              <w:rPr>
                <w:rFonts w:eastAsia="Times New Roman" w:cs="Arial"/>
                <w:sz w:val="24"/>
                <w:szCs w:val="24"/>
                <w:lang w:eastAsia="en-CA"/>
              </w:rPr>
            </w:pPr>
            <w:r w:rsidRPr="00E432E9">
              <w:rPr>
                <w:rFonts w:eastAsia="Times New Roman" w:cs="Arial"/>
                <w:sz w:val="24"/>
                <w:szCs w:val="24"/>
                <w:lang w:eastAsia="en-CA"/>
              </w:rPr>
              <w:t>Title</w:t>
            </w:r>
          </w:p>
        </w:tc>
        <w:tc>
          <w:tcPr>
            <w:tcW w:w="6349" w:type="dxa"/>
            <w:vAlign w:val="center"/>
          </w:tcPr>
          <w:p w:rsidR="00E432E9" w:rsidRPr="00E432E9" w:rsidRDefault="00E432E9" w:rsidP="00E432E9">
            <w:pPr>
              <w:rPr>
                <w:rFonts w:eastAsia="Times New Roman" w:cs="Arial"/>
                <w:sz w:val="24"/>
                <w:szCs w:val="24"/>
                <w:lang w:eastAsia="en-CA"/>
              </w:rPr>
            </w:pPr>
            <w:r w:rsidRPr="00E432E9">
              <w:rPr>
                <w:sz w:val="24"/>
                <w:szCs w:val="24"/>
              </w:rPr>
              <w:t xml:space="preserve">Alberta W2W Normalized Difference Vegetation Index (NDVI) </w:t>
            </w:r>
          </w:p>
        </w:tc>
      </w:tr>
      <w:tr w:rsidR="00012C20" w:rsidRPr="00E432E9" w:rsidTr="00E432E9">
        <w:tc>
          <w:tcPr>
            <w:tcW w:w="3227" w:type="dxa"/>
            <w:vAlign w:val="center"/>
          </w:tcPr>
          <w:p w:rsidR="00012C20" w:rsidRPr="00C751B2" w:rsidRDefault="00012C20" w:rsidP="00376B50">
            <w:pPr>
              <w:rPr>
                <w:rFonts w:eastAsia="Times New Roman" w:cs="Arial"/>
                <w:sz w:val="24"/>
                <w:szCs w:val="24"/>
                <w:lang w:eastAsia="en-CA"/>
              </w:rPr>
            </w:pPr>
            <w:r w:rsidRPr="00C751B2">
              <w:rPr>
                <w:rFonts w:eastAsia="Times New Roman" w:cs="Arial"/>
                <w:sz w:val="24"/>
                <w:szCs w:val="24"/>
                <w:lang w:eastAsia="en-CA"/>
              </w:rPr>
              <w:t xml:space="preserve">Sensor </w:t>
            </w:r>
            <w:r w:rsidRPr="00E432E9">
              <w:rPr>
                <w:rFonts w:eastAsia="Times New Roman" w:cs="Arial"/>
                <w:sz w:val="24"/>
                <w:szCs w:val="24"/>
                <w:lang w:eastAsia="en-CA"/>
              </w:rPr>
              <w:t>and product name</w:t>
            </w:r>
          </w:p>
        </w:tc>
        <w:tc>
          <w:tcPr>
            <w:tcW w:w="6349" w:type="dxa"/>
            <w:vAlign w:val="center"/>
          </w:tcPr>
          <w:p w:rsidR="00012C20" w:rsidRPr="00C751B2" w:rsidRDefault="00012C20" w:rsidP="00376B50">
            <w:pPr>
              <w:rPr>
                <w:rFonts w:eastAsia="Times New Roman" w:cs="Arial"/>
                <w:sz w:val="24"/>
                <w:szCs w:val="24"/>
                <w:lang w:eastAsia="en-CA"/>
              </w:rPr>
            </w:pPr>
            <w:r w:rsidRPr="00C751B2">
              <w:rPr>
                <w:rFonts w:eastAsia="Times New Roman" w:cs="Arial"/>
                <w:sz w:val="24"/>
                <w:szCs w:val="24"/>
                <w:lang w:eastAsia="en-CA"/>
              </w:rPr>
              <w:t>MODIS Terra</w:t>
            </w:r>
            <w:r w:rsidRPr="00E432E9">
              <w:rPr>
                <w:rFonts w:eastAsia="Times New Roman" w:cs="Arial"/>
                <w:sz w:val="24"/>
                <w:szCs w:val="24"/>
                <w:lang w:eastAsia="en-CA"/>
              </w:rPr>
              <w:t xml:space="preserve">, </w:t>
            </w:r>
            <w:r w:rsidRPr="00E432E9">
              <w:rPr>
                <w:rFonts w:cs="Arial"/>
                <w:sz w:val="24"/>
                <w:szCs w:val="24"/>
              </w:rPr>
              <w:t>MOD13Q1</w:t>
            </w:r>
            <w:r w:rsidRPr="00E432E9">
              <w:rPr>
                <w:rFonts w:eastAsia="Times New Roman" w:cs="Arial"/>
                <w:sz w:val="24"/>
                <w:szCs w:val="24"/>
                <w:lang w:eastAsia="en-CA"/>
              </w:rPr>
              <w:t xml:space="preserve"> </w:t>
            </w:r>
          </w:p>
        </w:tc>
      </w:tr>
      <w:tr w:rsidR="00012C20" w:rsidRPr="00E432E9" w:rsidTr="00E432E9">
        <w:tc>
          <w:tcPr>
            <w:tcW w:w="3227" w:type="dxa"/>
            <w:vAlign w:val="center"/>
          </w:tcPr>
          <w:p w:rsidR="00012C20" w:rsidRPr="00C751B2" w:rsidRDefault="00E432E9" w:rsidP="00376B50">
            <w:pPr>
              <w:rPr>
                <w:rFonts w:eastAsia="Times New Roman" w:cs="Arial"/>
                <w:sz w:val="24"/>
                <w:szCs w:val="24"/>
                <w:lang w:eastAsia="en-CA"/>
              </w:rPr>
            </w:pPr>
            <w:r w:rsidRPr="00E432E9">
              <w:rPr>
                <w:rFonts w:eastAsia="Times New Roman" w:cs="Arial"/>
                <w:sz w:val="24"/>
                <w:szCs w:val="24"/>
                <w:lang w:eastAsia="en-CA"/>
              </w:rPr>
              <w:t xml:space="preserve">Data format </w:t>
            </w:r>
          </w:p>
        </w:tc>
        <w:tc>
          <w:tcPr>
            <w:tcW w:w="6349" w:type="dxa"/>
            <w:vAlign w:val="center"/>
          </w:tcPr>
          <w:p w:rsidR="00012C20" w:rsidRPr="00C751B2" w:rsidRDefault="00E432E9" w:rsidP="00376B50">
            <w:pPr>
              <w:rPr>
                <w:rFonts w:eastAsia="Times New Roman" w:cs="Arial"/>
                <w:sz w:val="24"/>
                <w:szCs w:val="24"/>
                <w:lang w:eastAsia="en-CA"/>
              </w:rPr>
            </w:pPr>
            <w:r w:rsidRPr="00E432E9">
              <w:rPr>
                <w:rFonts w:eastAsia="Times New Roman" w:cs="Arial"/>
                <w:sz w:val="24"/>
                <w:szCs w:val="24"/>
                <w:lang w:eastAsia="en-CA"/>
              </w:rPr>
              <w:t>Tiff, integer (NDVI*10,000)</w:t>
            </w:r>
          </w:p>
        </w:tc>
      </w:tr>
      <w:tr w:rsidR="00E432E9" w:rsidRPr="00E432E9" w:rsidTr="00E432E9">
        <w:tc>
          <w:tcPr>
            <w:tcW w:w="3227" w:type="dxa"/>
            <w:vAlign w:val="center"/>
          </w:tcPr>
          <w:p w:rsidR="00E432E9" w:rsidRPr="00C751B2" w:rsidRDefault="00E432E9" w:rsidP="009D49C6">
            <w:pPr>
              <w:rPr>
                <w:rFonts w:eastAsia="Times New Roman" w:cs="Arial"/>
                <w:sz w:val="24"/>
                <w:szCs w:val="24"/>
                <w:lang w:eastAsia="en-CA"/>
              </w:rPr>
            </w:pPr>
            <w:r w:rsidRPr="00C751B2">
              <w:rPr>
                <w:rFonts w:eastAsia="Times New Roman" w:cs="Arial"/>
                <w:sz w:val="24"/>
                <w:szCs w:val="24"/>
                <w:lang w:eastAsia="en-CA"/>
              </w:rPr>
              <w:t xml:space="preserve">Spatial reference </w:t>
            </w:r>
          </w:p>
        </w:tc>
        <w:tc>
          <w:tcPr>
            <w:tcW w:w="6349" w:type="dxa"/>
            <w:vAlign w:val="center"/>
          </w:tcPr>
          <w:p w:rsidR="00E432E9" w:rsidRPr="00C751B2" w:rsidRDefault="00E432E9" w:rsidP="009D49C6">
            <w:pPr>
              <w:rPr>
                <w:rFonts w:eastAsia="Times New Roman" w:cs="Arial"/>
                <w:sz w:val="24"/>
                <w:szCs w:val="24"/>
                <w:lang w:eastAsia="en-CA"/>
              </w:rPr>
            </w:pPr>
            <w:r w:rsidRPr="00C751B2">
              <w:rPr>
                <w:rFonts w:eastAsia="Times New Roman" w:cs="Arial"/>
                <w:sz w:val="24"/>
                <w:szCs w:val="24"/>
                <w:lang w:eastAsia="en-CA"/>
              </w:rPr>
              <w:t>WGS 84</w:t>
            </w:r>
          </w:p>
        </w:tc>
      </w:tr>
      <w:tr w:rsidR="00E432E9" w:rsidRPr="00E432E9" w:rsidTr="00E432E9">
        <w:tc>
          <w:tcPr>
            <w:tcW w:w="3227" w:type="dxa"/>
            <w:vAlign w:val="center"/>
          </w:tcPr>
          <w:p w:rsidR="00E432E9" w:rsidRPr="00C751B2" w:rsidRDefault="00E432E9" w:rsidP="000E4F18">
            <w:pPr>
              <w:rPr>
                <w:rFonts w:eastAsia="Times New Roman" w:cs="Arial"/>
                <w:sz w:val="24"/>
                <w:szCs w:val="24"/>
                <w:lang w:eastAsia="en-CA"/>
              </w:rPr>
            </w:pPr>
            <w:r w:rsidRPr="00C751B2">
              <w:rPr>
                <w:rFonts w:eastAsia="Times New Roman" w:cs="Arial"/>
                <w:sz w:val="24"/>
                <w:szCs w:val="24"/>
                <w:lang w:eastAsia="en-CA"/>
              </w:rPr>
              <w:t>Spatial resolution (metres)</w:t>
            </w:r>
          </w:p>
        </w:tc>
        <w:tc>
          <w:tcPr>
            <w:tcW w:w="6349" w:type="dxa"/>
            <w:vAlign w:val="center"/>
          </w:tcPr>
          <w:p w:rsidR="00E432E9" w:rsidRPr="00C751B2" w:rsidRDefault="00E432E9" w:rsidP="00E432E9">
            <w:pPr>
              <w:rPr>
                <w:rFonts w:eastAsia="Times New Roman" w:cs="Arial"/>
                <w:sz w:val="24"/>
                <w:szCs w:val="24"/>
                <w:lang w:eastAsia="en-CA"/>
              </w:rPr>
            </w:pPr>
            <w:r w:rsidRPr="00C751B2">
              <w:rPr>
                <w:rFonts w:eastAsia="Times New Roman" w:cs="Arial"/>
                <w:sz w:val="24"/>
                <w:szCs w:val="24"/>
                <w:lang w:eastAsia="en-CA"/>
              </w:rPr>
              <w:t>2</w:t>
            </w:r>
            <w:r w:rsidRPr="00E432E9">
              <w:rPr>
                <w:rFonts w:eastAsia="Times New Roman" w:cs="Arial"/>
                <w:sz w:val="24"/>
                <w:szCs w:val="24"/>
                <w:lang w:eastAsia="en-CA"/>
              </w:rPr>
              <w:t>31.7</w:t>
            </w:r>
            <w:r w:rsidRPr="00C751B2">
              <w:rPr>
                <w:rFonts w:eastAsia="Times New Roman" w:cs="Arial"/>
                <w:sz w:val="24"/>
                <w:szCs w:val="24"/>
                <w:lang w:eastAsia="en-CA"/>
              </w:rPr>
              <w:t xml:space="preserve"> m</w:t>
            </w:r>
          </w:p>
        </w:tc>
      </w:tr>
      <w:tr w:rsidR="00E432E9" w:rsidRPr="00E432E9" w:rsidTr="00E432E9">
        <w:tc>
          <w:tcPr>
            <w:tcW w:w="3227" w:type="dxa"/>
            <w:vAlign w:val="center"/>
          </w:tcPr>
          <w:p w:rsidR="00E432E9" w:rsidRPr="00C751B2" w:rsidRDefault="00E432E9" w:rsidP="0086375B">
            <w:pPr>
              <w:rPr>
                <w:rFonts w:eastAsia="Times New Roman" w:cs="Arial"/>
                <w:sz w:val="24"/>
                <w:szCs w:val="24"/>
                <w:lang w:eastAsia="en-CA"/>
              </w:rPr>
            </w:pPr>
            <w:r w:rsidRPr="00C751B2">
              <w:rPr>
                <w:rFonts w:eastAsia="Times New Roman" w:cs="Arial"/>
                <w:sz w:val="24"/>
                <w:szCs w:val="24"/>
                <w:lang w:eastAsia="en-CA"/>
              </w:rPr>
              <w:t>Spatial coverage (degrees)</w:t>
            </w:r>
          </w:p>
        </w:tc>
        <w:tc>
          <w:tcPr>
            <w:tcW w:w="6349" w:type="dxa"/>
            <w:vAlign w:val="center"/>
          </w:tcPr>
          <w:p w:rsidR="00E432E9" w:rsidRPr="00C751B2" w:rsidRDefault="009E2EB4" w:rsidP="009E2EB4">
            <w:pPr>
              <w:jc w:val="center"/>
              <w:rPr>
                <w:rFonts w:eastAsia="Times New Roman" w:cs="Arial"/>
                <w:sz w:val="24"/>
                <w:szCs w:val="24"/>
                <w:lang w:eastAsia="en-CA"/>
              </w:rPr>
            </w:pPr>
            <w:r>
              <w:rPr>
                <w:rFonts w:cs="Arial"/>
                <w:noProof/>
                <w:sz w:val="24"/>
                <w:szCs w:val="24"/>
                <w:lang w:eastAsia="en-CA"/>
              </w:rPr>
              <w:drawing>
                <wp:anchor distT="0" distB="0" distL="114300" distR="114300" simplePos="0" relativeHeight="251658240" behindDoc="0" locked="0" layoutInCell="1" allowOverlap="1">
                  <wp:simplePos x="0" y="0"/>
                  <wp:positionH relativeFrom="column">
                    <wp:posOffset>1750060</wp:posOffset>
                  </wp:positionH>
                  <wp:positionV relativeFrom="paragraph">
                    <wp:posOffset>635</wp:posOffset>
                  </wp:positionV>
                  <wp:extent cx="2117090" cy="17081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VI_ext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7090" cy="1708150"/>
                          </a:xfrm>
                          <a:prstGeom prst="rect">
                            <a:avLst/>
                          </a:prstGeom>
                        </pic:spPr>
                      </pic:pic>
                    </a:graphicData>
                  </a:graphic>
                </wp:anchor>
              </w:drawing>
            </w:r>
            <w:r>
              <w:rPr>
                <w:rFonts w:eastAsia="Times New Roman" w:cs="Arial"/>
                <w:sz w:val="24"/>
                <w:szCs w:val="24"/>
                <w:lang w:eastAsia="en-CA"/>
              </w:rPr>
              <w:t>60 N; 48 S; -12</w:t>
            </w:r>
            <w:r w:rsidR="00E432E9" w:rsidRPr="00C751B2">
              <w:rPr>
                <w:rFonts w:eastAsia="Times New Roman" w:cs="Arial"/>
                <w:sz w:val="24"/>
                <w:szCs w:val="24"/>
                <w:lang w:eastAsia="en-CA"/>
              </w:rPr>
              <w:t>0</w:t>
            </w:r>
            <w:r>
              <w:rPr>
                <w:rFonts w:eastAsia="Times New Roman" w:cs="Arial"/>
                <w:sz w:val="24"/>
                <w:szCs w:val="24"/>
                <w:lang w:eastAsia="en-CA"/>
              </w:rPr>
              <w:t xml:space="preserve"> W; -110 E</w:t>
            </w:r>
            <w:r w:rsidR="00E432E9" w:rsidRPr="00C751B2">
              <w:rPr>
                <w:rFonts w:eastAsia="Times New Roman" w:cs="Arial"/>
                <w:sz w:val="24"/>
                <w:szCs w:val="24"/>
                <w:lang w:eastAsia="en-CA"/>
              </w:rPr>
              <w:t xml:space="preserve"> </w:t>
            </w:r>
          </w:p>
        </w:tc>
      </w:tr>
      <w:tr w:rsidR="00E432E9" w:rsidRPr="00E432E9" w:rsidTr="00E432E9">
        <w:tc>
          <w:tcPr>
            <w:tcW w:w="3227" w:type="dxa"/>
            <w:vAlign w:val="center"/>
          </w:tcPr>
          <w:p w:rsidR="00E432E9" w:rsidRPr="00C751B2" w:rsidRDefault="00E432E9" w:rsidP="0086375B">
            <w:pPr>
              <w:rPr>
                <w:rFonts w:eastAsia="Times New Roman" w:cs="Arial"/>
                <w:sz w:val="24"/>
                <w:szCs w:val="24"/>
                <w:lang w:eastAsia="en-CA"/>
              </w:rPr>
            </w:pPr>
            <w:r w:rsidRPr="00C751B2">
              <w:rPr>
                <w:rFonts w:eastAsia="Times New Roman" w:cs="Arial"/>
                <w:sz w:val="24"/>
                <w:szCs w:val="24"/>
                <w:lang w:eastAsia="en-CA"/>
              </w:rPr>
              <w:t>Temporal resolution</w:t>
            </w:r>
          </w:p>
        </w:tc>
        <w:tc>
          <w:tcPr>
            <w:tcW w:w="6349" w:type="dxa"/>
            <w:vAlign w:val="center"/>
          </w:tcPr>
          <w:p w:rsidR="00E432E9" w:rsidRPr="00C751B2" w:rsidRDefault="00E432E9" w:rsidP="0086375B">
            <w:pPr>
              <w:rPr>
                <w:rFonts w:eastAsia="Times New Roman" w:cs="Arial"/>
                <w:sz w:val="24"/>
                <w:szCs w:val="24"/>
                <w:lang w:eastAsia="en-CA"/>
              </w:rPr>
            </w:pPr>
            <w:r w:rsidRPr="00C751B2">
              <w:rPr>
                <w:rFonts w:eastAsia="Times New Roman" w:cs="Arial"/>
                <w:sz w:val="24"/>
                <w:szCs w:val="24"/>
                <w:lang w:eastAsia="en-CA"/>
              </w:rPr>
              <w:t>16-day composite</w:t>
            </w:r>
          </w:p>
        </w:tc>
      </w:tr>
      <w:tr w:rsidR="00E432E9" w:rsidRPr="00E432E9" w:rsidTr="00E432E9">
        <w:tc>
          <w:tcPr>
            <w:tcW w:w="3227" w:type="dxa"/>
            <w:vAlign w:val="center"/>
          </w:tcPr>
          <w:p w:rsidR="00E432E9" w:rsidRPr="00C751B2" w:rsidRDefault="00E432E9" w:rsidP="0086375B">
            <w:pPr>
              <w:rPr>
                <w:rFonts w:eastAsia="Times New Roman" w:cs="Arial"/>
                <w:sz w:val="24"/>
                <w:szCs w:val="24"/>
                <w:lang w:eastAsia="en-CA"/>
              </w:rPr>
            </w:pPr>
            <w:r w:rsidRPr="00C751B2">
              <w:rPr>
                <w:rFonts w:eastAsia="Times New Roman" w:cs="Arial"/>
                <w:sz w:val="24"/>
                <w:szCs w:val="24"/>
                <w:lang w:eastAsia="en-CA"/>
              </w:rPr>
              <w:t>Temporal coverage</w:t>
            </w:r>
          </w:p>
        </w:tc>
        <w:tc>
          <w:tcPr>
            <w:tcW w:w="6349" w:type="dxa"/>
            <w:vAlign w:val="center"/>
          </w:tcPr>
          <w:p w:rsidR="00E432E9" w:rsidRPr="00C751B2" w:rsidRDefault="00E432E9" w:rsidP="0086375B">
            <w:pPr>
              <w:rPr>
                <w:rFonts w:eastAsia="Times New Roman" w:cs="Arial"/>
                <w:sz w:val="24"/>
                <w:szCs w:val="24"/>
                <w:lang w:eastAsia="en-CA"/>
              </w:rPr>
            </w:pPr>
            <w:r w:rsidRPr="00C751B2">
              <w:rPr>
                <w:rFonts w:eastAsia="Times New Roman" w:cs="Arial"/>
                <w:sz w:val="24"/>
                <w:szCs w:val="24"/>
                <w:lang w:eastAsia="en-CA"/>
              </w:rPr>
              <w:t xml:space="preserve">2000-02-18 </w:t>
            </w:r>
            <w:r w:rsidRPr="00E432E9">
              <w:rPr>
                <w:rFonts w:eastAsia="Times New Roman" w:cs="Arial"/>
                <w:sz w:val="24"/>
                <w:szCs w:val="24"/>
                <w:lang w:eastAsia="en-CA"/>
              </w:rPr>
              <w:t>-</w:t>
            </w:r>
            <w:r w:rsidRPr="00C751B2">
              <w:rPr>
                <w:rFonts w:eastAsia="Times New Roman" w:cs="Arial"/>
                <w:sz w:val="24"/>
                <w:szCs w:val="24"/>
                <w:lang w:eastAsia="en-CA"/>
              </w:rPr>
              <w:t xml:space="preserve"> ongoing</w:t>
            </w:r>
          </w:p>
        </w:tc>
      </w:tr>
      <w:tr w:rsidR="00E432E9" w:rsidRPr="00E432E9" w:rsidTr="00E432E9">
        <w:tc>
          <w:tcPr>
            <w:tcW w:w="3227" w:type="dxa"/>
            <w:vAlign w:val="center"/>
          </w:tcPr>
          <w:p w:rsidR="00E432E9" w:rsidRPr="00C751B2" w:rsidRDefault="00E432E9" w:rsidP="00BB32FA">
            <w:pPr>
              <w:rPr>
                <w:rFonts w:eastAsia="Times New Roman" w:cs="Arial"/>
                <w:sz w:val="24"/>
                <w:szCs w:val="24"/>
                <w:lang w:eastAsia="en-CA"/>
              </w:rPr>
            </w:pPr>
            <w:r>
              <w:rPr>
                <w:rFonts w:eastAsia="Times New Roman" w:cs="Arial"/>
                <w:sz w:val="24"/>
                <w:szCs w:val="24"/>
                <w:lang w:eastAsia="en-CA"/>
              </w:rPr>
              <w:t xml:space="preserve">Public release </w:t>
            </w:r>
          </w:p>
        </w:tc>
        <w:tc>
          <w:tcPr>
            <w:tcW w:w="6349" w:type="dxa"/>
            <w:vAlign w:val="center"/>
          </w:tcPr>
          <w:p w:rsidR="00E432E9" w:rsidRPr="00C751B2" w:rsidRDefault="00E432E9" w:rsidP="00BB32FA">
            <w:pPr>
              <w:rPr>
                <w:rFonts w:eastAsia="Times New Roman" w:cs="Arial"/>
                <w:sz w:val="24"/>
                <w:szCs w:val="24"/>
                <w:lang w:eastAsia="en-CA"/>
              </w:rPr>
            </w:pPr>
            <w:r w:rsidRPr="00E432E9">
              <w:rPr>
                <w:rFonts w:cs="Arial"/>
                <w:sz w:val="24"/>
                <w:szCs w:val="24"/>
              </w:rPr>
              <w:t>June 1</w:t>
            </w:r>
            <w:r w:rsidRPr="00E432E9">
              <w:rPr>
                <w:rFonts w:cs="Arial"/>
                <w:sz w:val="24"/>
                <w:szCs w:val="24"/>
                <w:vertAlign w:val="superscript"/>
              </w:rPr>
              <w:t>st</w:t>
            </w:r>
            <w:r w:rsidRPr="00E432E9">
              <w:rPr>
                <w:rFonts w:cs="Arial"/>
                <w:sz w:val="24"/>
                <w:szCs w:val="24"/>
              </w:rPr>
              <w:t>, 2014</w:t>
            </w:r>
          </w:p>
        </w:tc>
      </w:tr>
    </w:tbl>
    <w:p w:rsidR="004C6513" w:rsidRPr="00E432E9" w:rsidRDefault="004C6513" w:rsidP="000B2B26">
      <w:pPr>
        <w:spacing w:after="0" w:line="240" w:lineRule="auto"/>
        <w:rPr>
          <w:rFonts w:cs="Arial"/>
          <w:sz w:val="24"/>
          <w:szCs w:val="24"/>
        </w:rPr>
      </w:pPr>
    </w:p>
    <w:p w:rsidR="0030766B" w:rsidRPr="00E432E9" w:rsidRDefault="004C6513" w:rsidP="0030766B">
      <w:pPr>
        <w:pStyle w:val="NormalWeb"/>
        <w:spacing w:before="0" w:beforeAutospacing="0" w:after="0" w:afterAutospacing="0"/>
        <w:rPr>
          <w:rFonts w:asciiTheme="minorHAnsi" w:hAnsiTheme="minorHAnsi" w:cs="Arial"/>
        </w:rPr>
      </w:pPr>
      <w:r w:rsidRPr="00E432E9">
        <w:rPr>
          <w:rFonts w:asciiTheme="minorHAnsi" w:hAnsiTheme="minorHAnsi" w:cs="Arial"/>
          <w:b/>
          <w:bCs/>
        </w:rPr>
        <w:t xml:space="preserve">Dataset Release Date: </w:t>
      </w:r>
      <w:r w:rsidR="0030766B" w:rsidRPr="00E432E9">
        <w:rPr>
          <w:rFonts w:asciiTheme="minorHAnsi" w:hAnsiTheme="minorHAnsi" w:cs="Arial"/>
        </w:rPr>
        <w:t>June 1</w:t>
      </w:r>
      <w:r w:rsidR="0030766B" w:rsidRPr="00E432E9">
        <w:rPr>
          <w:rFonts w:asciiTheme="minorHAnsi" w:hAnsiTheme="minorHAnsi" w:cs="Arial"/>
          <w:vertAlign w:val="superscript"/>
        </w:rPr>
        <w:t>st</w:t>
      </w:r>
      <w:r w:rsidR="0030766B" w:rsidRPr="00E432E9">
        <w:rPr>
          <w:rFonts w:asciiTheme="minorHAnsi" w:hAnsiTheme="minorHAnsi" w:cs="Arial"/>
        </w:rPr>
        <w:t>, 2014</w:t>
      </w:r>
    </w:p>
    <w:p w:rsidR="0030766B" w:rsidRPr="00E432E9" w:rsidRDefault="004C6513" w:rsidP="0030766B">
      <w:pPr>
        <w:pStyle w:val="NormalWeb"/>
        <w:spacing w:before="0" w:beforeAutospacing="0" w:after="0" w:afterAutospacing="0"/>
        <w:rPr>
          <w:rFonts w:asciiTheme="minorHAnsi" w:hAnsiTheme="minorHAnsi" w:cs="Arial"/>
          <w:b/>
          <w:bCs/>
        </w:rPr>
      </w:pPr>
      <w:r w:rsidRPr="00E432E9">
        <w:rPr>
          <w:rFonts w:asciiTheme="minorHAnsi" w:hAnsiTheme="minorHAnsi" w:cs="Arial"/>
          <w:b/>
          <w:bCs/>
        </w:rPr>
        <w:t xml:space="preserve">Dataset Release Place: </w:t>
      </w:r>
      <w:r w:rsidR="0030766B" w:rsidRPr="00E432E9">
        <w:rPr>
          <w:rFonts w:asciiTheme="minorHAnsi" w:hAnsiTheme="minorHAnsi" w:cs="Arial"/>
        </w:rPr>
        <w:t>Edmonton AB, Canada</w:t>
      </w:r>
      <w:r w:rsidRPr="00E432E9">
        <w:rPr>
          <w:rFonts w:asciiTheme="minorHAnsi" w:hAnsiTheme="minorHAnsi" w:cs="Arial"/>
        </w:rPr>
        <w:br/>
      </w:r>
      <w:r w:rsidRPr="00E432E9">
        <w:rPr>
          <w:rFonts w:asciiTheme="minorHAnsi" w:hAnsiTheme="minorHAnsi" w:cs="Arial"/>
          <w:b/>
          <w:bCs/>
        </w:rPr>
        <w:t xml:space="preserve">Dataset Publisher: </w:t>
      </w:r>
      <w:r w:rsidR="0030766B" w:rsidRPr="00E432E9">
        <w:rPr>
          <w:rFonts w:asciiTheme="minorHAnsi" w:hAnsiTheme="minorHAnsi" w:cs="Arial"/>
          <w:bCs/>
        </w:rPr>
        <w:t>Alberta Biodiversity Monitoring Institute</w:t>
      </w:r>
    </w:p>
    <w:p w:rsidR="00AA4D3F" w:rsidRPr="00E432E9" w:rsidRDefault="004C6513" w:rsidP="009E2EB4">
      <w:pPr>
        <w:pStyle w:val="NormalWeb"/>
        <w:spacing w:before="0" w:beforeAutospacing="0" w:after="0" w:afterAutospacing="0"/>
        <w:rPr>
          <w:rFonts w:asciiTheme="minorHAnsi" w:hAnsiTheme="minorHAnsi" w:cs="Arial"/>
        </w:rPr>
      </w:pPr>
      <w:r w:rsidRPr="00E432E9">
        <w:rPr>
          <w:rFonts w:asciiTheme="minorHAnsi" w:hAnsiTheme="minorHAnsi" w:cs="Arial"/>
          <w:b/>
          <w:bCs/>
        </w:rPr>
        <w:t xml:space="preserve">Online Resource: </w:t>
      </w:r>
    </w:p>
    <w:sectPr w:rsidR="00AA4D3F" w:rsidRPr="00E432E9" w:rsidSect="00C21036">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4AD2"/>
    <w:multiLevelType w:val="multilevel"/>
    <w:tmpl w:val="1CA0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26"/>
    <w:rsid w:val="00012C20"/>
    <w:rsid w:val="000B2B26"/>
    <w:rsid w:val="00105392"/>
    <w:rsid w:val="00110C5D"/>
    <w:rsid w:val="0011633D"/>
    <w:rsid w:val="00273BAF"/>
    <w:rsid w:val="0030766B"/>
    <w:rsid w:val="00314F9C"/>
    <w:rsid w:val="00415FCE"/>
    <w:rsid w:val="004C6513"/>
    <w:rsid w:val="006614D6"/>
    <w:rsid w:val="006902B7"/>
    <w:rsid w:val="006E7FA1"/>
    <w:rsid w:val="009311CB"/>
    <w:rsid w:val="009A1F74"/>
    <w:rsid w:val="009E2EB4"/>
    <w:rsid w:val="00AA4D3F"/>
    <w:rsid w:val="00C21036"/>
    <w:rsid w:val="00C751B2"/>
    <w:rsid w:val="00C97BE3"/>
    <w:rsid w:val="00D478C6"/>
    <w:rsid w:val="00E432E9"/>
    <w:rsid w:val="00EA36E1"/>
    <w:rsid w:val="00F602A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2B2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4C65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B26"/>
    <w:rPr>
      <w:rFonts w:ascii="Times New Roman" w:eastAsia="Times New Roman" w:hAnsi="Times New Roman" w:cs="Times New Roman"/>
      <w:b/>
      <w:bCs/>
      <w:sz w:val="36"/>
      <w:szCs w:val="36"/>
      <w:lang w:eastAsia="en-CA"/>
    </w:rPr>
  </w:style>
  <w:style w:type="paragraph" w:customStyle="1" w:styleId="bodytextblack">
    <w:name w:val="bodytextblack"/>
    <w:basedOn w:val="Normal"/>
    <w:rsid w:val="000B2B2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B2B26"/>
    <w:rPr>
      <w:b/>
      <w:bCs/>
    </w:rPr>
  </w:style>
  <w:style w:type="character" w:styleId="Hyperlink">
    <w:name w:val="Hyperlink"/>
    <w:basedOn w:val="DefaultParagraphFont"/>
    <w:uiPriority w:val="99"/>
    <w:semiHidden/>
    <w:unhideWhenUsed/>
    <w:rsid w:val="000B2B26"/>
    <w:rPr>
      <w:color w:val="0000FF"/>
      <w:u w:val="single"/>
    </w:rPr>
  </w:style>
  <w:style w:type="character" w:customStyle="1" w:styleId="Heading1Char">
    <w:name w:val="Heading 1 Char"/>
    <w:basedOn w:val="DefaultParagraphFont"/>
    <w:link w:val="Heading1"/>
    <w:uiPriority w:val="9"/>
    <w:rsid w:val="006E7FA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6E7FA1"/>
  </w:style>
  <w:style w:type="character" w:styleId="Emphasis">
    <w:name w:val="Emphasis"/>
    <w:basedOn w:val="DefaultParagraphFont"/>
    <w:uiPriority w:val="20"/>
    <w:qFormat/>
    <w:rsid w:val="006E7FA1"/>
    <w:rPr>
      <w:i/>
      <w:iCs/>
    </w:rPr>
  </w:style>
  <w:style w:type="character" w:customStyle="1" w:styleId="Heading3Char">
    <w:name w:val="Heading 3 Char"/>
    <w:basedOn w:val="DefaultParagraphFont"/>
    <w:link w:val="Heading3"/>
    <w:uiPriority w:val="9"/>
    <w:semiHidden/>
    <w:rsid w:val="004C651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C651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4C6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4C6513"/>
    <w:rPr>
      <w:rFonts w:ascii="Courier New" w:eastAsia="Times New Roman" w:hAnsi="Courier New" w:cs="Courier New"/>
      <w:sz w:val="20"/>
      <w:szCs w:val="20"/>
      <w:lang w:eastAsia="en-CA"/>
    </w:rPr>
  </w:style>
  <w:style w:type="table" w:styleId="TableGrid">
    <w:name w:val="Table Grid"/>
    <w:basedOn w:val="TableNormal"/>
    <w:uiPriority w:val="59"/>
    <w:rsid w:val="00C75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2B2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4C65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B26"/>
    <w:rPr>
      <w:rFonts w:ascii="Times New Roman" w:eastAsia="Times New Roman" w:hAnsi="Times New Roman" w:cs="Times New Roman"/>
      <w:b/>
      <w:bCs/>
      <w:sz w:val="36"/>
      <w:szCs w:val="36"/>
      <w:lang w:eastAsia="en-CA"/>
    </w:rPr>
  </w:style>
  <w:style w:type="paragraph" w:customStyle="1" w:styleId="bodytextblack">
    <w:name w:val="bodytextblack"/>
    <w:basedOn w:val="Normal"/>
    <w:rsid w:val="000B2B2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B2B26"/>
    <w:rPr>
      <w:b/>
      <w:bCs/>
    </w:rPr>
  </w:style>
  <w:style w:type="character" w:styleId="Hyperlink">
    <w:name w:val="Hyperlink"/>
    <w:basedOn w:val="DefaultParagraphFont"/>
    <w:uiPriority w:val="99"/>
    <w:semiHidden/>
    <w:unhideWhenUsed/>
    <w:rsid w:val="000B2B26"/>
    <w:rPr>
      <w:color w:val="0000FF"/>
      <w:u w:val="single"/>
    </w:rPr>
  </w:style>
  <w:style w:type="character" w:customStyle="1" w:styleId="Heading1Char">
    <w:name w:val="Heading 1 Char"/>
    <w:basedOn w:val="DefaultParagraphFont"/>
    <w:link w:val="Heading1"/>
    <w:uiPriority w:val="9"/>
    <w:rsid w:val="006E7FA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6E7FA1"/>
  </w:style>
  <w:style w:type="character" w:styleId="Emphasis">
    <w:name w:val="Emphasis"/>
    <w:basedOn w:val="DefaultParagraphFont"/>
    <w:uiPriority w:val="20"/>
    <w:qFormat/>
    <w:rsid w:val="006E7FA1"/>
    <w:rPr>
      <w:i/>
      <w:iCs/>
    </w:rPr>
  </w:style>
  <w:style w:type="character" w:customStyle="1" w:styleId="Heading3Char">
    <w:name w:val="Heading 3 Char"/>
    <w:basedOn w:val="DefaultParagraphFont"/>
    <w:link w:val="Heading3"/>
    <w:uiPriority w:val="9"/>
    <w:semiHidden/>
    <w:rsid w:val="004C651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C651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4C6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4C6513"/>
    <w:rPr>
      <w:rFonts w:ascii="Courier New" w:eastAsia="Times New Roman" w:hAnsi="Courier New" w:cs="Courier New"/>
      <w:sz w:val="20"/>
      <w:szCs w:val="20"/>
      <w:lang w:eastAsia="en-CA"/>
    </w:rPr>
  </w:style>
  <w:style w:type="table" w:styleId="TableGrid">
    <w:name w:val="Table Grid"/>
    <w:basedOn w:val="TableNormal"/>
    <w:uiPriority w:val="59"/>
    <w:rsid w:val="00C75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7524">
      <w:bodyDiv w:val="1"/>
      <w:marLeft w:val="0"/>
      <w:marRight w:val="0"/>
      <w:marTop w:val="0"/>
      <w:marBottom w:val="0"/>
      <w:divBdr>
        <w:top w:val="none" w:sz="0" w:space="0" w:color="auto"/>
        <w:left w:val="none" w:sz="0" w:space="0" w:color="auto"/>
        <w:bottom w:val="none" w:sz="0" w:space="0" w:color="auto"/>
        <w:right w:val="none" w:sz="0" w:space="0" w:color="auto"/>
      </w:divBdr>
    </w:div>
    <w:div w:id="487408532">
      <w:bodyDiv w:val="1"/>
      <w:marLeft w:val="0"/>
      <w:marRight w:val="0"/>
      <w:marTop w:val="0"/>
      <w:marBottom w:val="0"/>
      <w:divBdr>
        <w:top w:val="none" w:sz="0" w:space="0" w:color="auto"/>
        <w:left w:val="none" w:sz="0" w:space="0" w:color="auto"/>
        <w:bottom w:val="none" w:sz="0" w:space="0" w:color="auto"/>
        <w:right w:val="none" w:sz="0" w:space="0" w:color="auto"/>
      </w:divBdr>
    </w:div>
    <w:div w:id="553393710">
      <w:bodyDiv w:val="1"/>
      <w:marLeft w:val="0"/>
      <w:marRight w:val="0"/>
      <w:marTop w:val="0"/>
      <w:marBottom w:val="0"/>
      <w:divBdr>
        <w:top w:val="none" w:sz="0" w:space="0" w:color="auto"/>
        <w:left w:val="none" w:sz="0" w:space="0" w:color="auto"/>
        <w:bottom w:val="none" w:sz="0" w:space="0" w:color="auto"/>
        <w:right w:val="none" w:sz="0" w:space="0" w:color="auto"/>
      </w:divBdr>
    </w:div>
    <w:div w:id="1334140012">
      <w:bodyDiv w:val="1"/>
      <w:marLeft w:val="0"/>
      <w:marRight w:val="0"/>
      <w:marTop w:val="0"/>
      <w:marBottom w:val="0"/>
      <w:divBdr>
        <w:top w:val="none" w:sz="0" w:space="0" w:color="auto"/>
        <w:left w:val="none" w:sz="0" w:space="0" w:color="auto"/>
        <w:bottom w:val="none" w:sz="0" w:space="0" w:color="auto"/>
        <w:right w:val="none" w:sz="0" w:space="0" w:color="auto"/>
      </w:divBdr>
    </w:div>
    <w:div w:id="16081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 Kariyeva</dc:creator>
  <cp:lastModifiedBy>Jahan</cp:lastModifiedBy>
  <cp:revision>4</cp:revision>
  <dcterms:created xsi:type="dcterms:W3CDTF">2014-05-28T17:13:00Z</dcterms:created>
  <dcterms:modified xsi:type="dcterms:W3CDTF">2014-05-29T19:39:00Z</dcterms:modified>
</cp:coreProperties>
</file>